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6438" w:rsidRPr="00017676" w:rsidRDefault="00D56438" w:rsidP="00D56438">
      <w:pPr>
        <w:pStyle w:val="NormaleWeb"/>
        <w:rPr>
          <w:b/>
        </w:rPr>
      </w:pPr>
      <w:proofErr w:type="spellStart"/>
      <w:r w:rsidRPr="00017676">
        <w:rPr>
          <w:b/>
        </w:rPr>
        <w:t>Faq</w:t>
      </w:r>
      <w:proofErr w:type="spellEnd"/>
      <w:r w:rsidRPr="00017676">
        <w:rPr>
          <w:b/>
        </w:rPr>
        <w:t xml:space="preserve"> 1</w:t>
      </w:r>
    </w:p>
    <w:p w:rsidR="00D56438" w:rsidRDefault="00D56438" w:rsidP="00017676">
      <w:pPr>
        <w:pStyle w:val="NormaleWeb"/>
        <w:jc w:val="both"/>
      </w:pPr>
      <w:r>
        <w:t>V</w:t>
      </w:r>
      <w:r>
        <w:t xml:space="preserve">isti i tempi ravvicinati per la partecipazione alla Manifestazione d'Interesse per la gestione dell'impianto polisportivo di Mombarone, Le volevamo chiedere conferma della possibilità di presentare l'istanza a nome del </w:t>
      </w:r>
      <w:r>
        <w:t xml:space="preserve"> omissis</w:t>
      </w:r>
      <w:r>
        <w:t xml:space="preserve">, (in quanto Ente di Promozione Sportiva, senza scopo di lucro, che persegue finalità sportive oltre che civiche, solidaristiche) come mandatario e specificando nell'istanza il partenariato con la </w:t>
      </w:r>
      <w:r>
        <w:t>omissis (</w:t>
      </w:r>
      <w:r>
        <w:t xml:space="preserve">che per statuto  non può  partecipare direttamente  visto che ha solo scopi ricreati ma non sportivi).Chiediamo se la cauzione  di 10.000 euro potrà essere erogata  tramite fideiussione  bancaria </w:t>
      </w:r>
      <w:r>
        <w:t>o assicurativa o per forza dall’</w:t>
      </w:r>
      <w:r>
        <w:t>ente che parteciperà  al bando?</w:t>
      </w:r>
      <w:r w:rsidR="00017676">
        <w:t xml:space="preserve"> </w:t>
      </w:r>
      <w:r>
        <w:t>Inoltre si chiede conferma sulla data di eventuale inizio gestione al 1° gennaio 2022 o  dopo l Epifania?</w:t>
      </w:r>
    </w:p>
    <w:p w:rsidR="00D56438" w:rsidRDefault="00D56438" w:rsidP="00017676">
      <w:pPr>
        <w:pStyle w:val="NormaleWeb"/>
        <w:jc w:val="both"/>
      </w:pPr>
      <w:r>
        <w:t>Risposta</w:t>
      </w:r>
    </w:p>
    <w:p w:rsidR="00D56438" w:rsidRDefault="00D56438" w:rsidP="00017676">
      <w:pPr>
        <w:pStyle w:val="NormaleWeb"/>
        <w:jc w:val="both"/>
      </w:pPr>
      <w:r>
        <w:t>Rispetto alla natura soggettiva del partecipante, nulla osta alla successiva costituzione di un nuovo soggetto. Possono comunque partecipare  i soggetti di cui all’art. 45 del D.Lgs. 50/2016, che siano in possesso dei requisiti di ordine generale di cui all’art. 80 del D.Lgs. n. 50/2016, ivi compresi gli enti senza scopo di lucro che perseguono finalità sportive, civiche, solidaristiche e di utilità sociale. La cauzione  di 10.000 euro potrà essere erogata  tramite fideiussione  bancaria o assicurativa. L’avvio della gestione è previsto per il 1/1/2022, fatti salvi i tempi tecnici per l’esame delle offerte.</w:t>
      </w:r>
    </w:p>
    <w:p w:rsidR="00D56438" w:rsidRPr="00017676" w:rsidRDefault="00D56438" w:rsidP="00017676">
      <w:pPr>
        <w:pStyle w:val="NormaleWeb"/>
        <w:jc w:val="both"/>
        <w:rPr>
          <w:b/>
        </w:rPr>
      </w:pPr>
      <w:proofErr w:type="spellStart"/>
      <w:r w:rsidRPr="00017676">
        <w:rPr>
          <w:b/>
        </w:rPr>
        <w:t>Faq</w:t>
      </w:r>
      <w:proofErr w:type="spellEnd"/>
      <w:r w:rsidRPr="00017676">
        <w:rPr>
          <w:b/>
        </w:rPr>
        <w:t xml:space="preserve"> 2</w:t>
      </w:r>
    </w:p>
    <w:p w:rsidR="00D56438" w:rsidRPr="00D56438" w:rsidRDefault="00D56438" w:rsidP="00017676">
      <w:pPr>
        <w:pStyle w:val="NormaleWeb"/>
        <w:jc w:val="both"/>
      </w:pPr>
      <w:r w:rsidRPr="00D56438">
        <w:t xml:space="preserve">Buongiorno, in riferimento a quanto in oggetto ed in relazione al probabile interesse da parte di un mio cliente, considerate le condizioni in cui verterà il complesso sportivo, soggetto in fase di concessione ad importanti lavori di ristrutturazione e quindi convivente con diversi "cantieri", si chiede cortesemente di </w:t>
      </w:r>
      <w:r w:rsidRPr="00D56438">
        <w:rPr>
          <w:bCs/>
        </w:rPr>
        <w:t>conoscere la presunta quantificazione degli oneri comunali, provinciali e regionali che rimarrebbero a carico del concessionario per imposte e tasse dirette e indirette</w:t>
      </w:r>
      <w:r w:rsidRPr="00D56438">
        <w:t xml:space="preserve">, quali ad esempio IMU, TARI, TASI ecc. precisando che </w:t>
      </w:r>
      <w:r w:rsidRPr="00D56438">
        <w:rPr>
          <w:bCs/>
        </w:rPr>
        <w:t>il soggetto giuridico coinvolto sarà un consorzio</w:t>
      </w:r>
      <w:r w:rsidRPr="00D56438">
        <w:t xml:space="preserve"> senza scopo di </w:t>
      </w:r>
      <w:proofErr w:type="spellStart"/>
      <w:r w:rsidRPr="00D56438">
        <w:t>lucro.</w:t>
      </w:r>
      <w:proofErr w:type="spellEnd"/>
    </w:p>
    <w:p w:rsidR="00D56438" w:rsidRDefault="00D56438" w:rsidP="00017676">
      <w:pPr>
        <w:pStyle w:val="NormaleWeb"/>
        <w:jc w:val="both"/>
      </w:pPr>
      <w:r>
        <w:t xml:space="preserve">Risposta </w:t>
      </w:r>
    </w:p>
    <w:p w:rsidR="00D56438" w:rsidRDefault="00D56438" w:rsidP="00017676">
      <w:pPr>
        <w:pStyle w:val="NormaleWeb"/>
        <w:jc w:val="both"/>
      </w:pPr>
      <w:r>
        <w:t xml:space="preserve">Sull'immobile non è previsto il pagamento dell'Imu (la </w:t>
      </w:r>
      <w:proofErr w:type="spellStart"/>
      <w:r>
        <w:t>Tasi</w:t>
      </w:r>
      <w:proofErr w:type="spellEnd"/>
      <w:r>
        <w:t xml:space="preserve"> è stata abolita nel 2020), mentre resterà a carico del concessionario l'onere relativo alla tariffa rifiuti. La relativa stima dipende dalle attività che verranno svolte e dalla capacità di ridurre il conferimento di rifiuto secco. In base ai dati forniti dal precedente gestore (che sono puramente indicativi) tale onere è di importo stimabile in circa 12.000 euro/anno. Per quanto concerne di "oneri provinciali e regionali" questo Ente non ha titolo per fornire stime. </w:t>
      </w:r>
    </w:p>
    <w:p w:rsidR="00686FED" w:rsidRDefault="00686FED"/>
    <w:sectPr w:rsidR="00686FED" w:rsidSect="00686FED">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defaultTabStop w:val="708"/>
  <w:hyphenationZone w:val="283"/>
  <w:characterSpacingControl w:val="doNotCompress"/>
  <w:compat/>
  <w:rsids>
    <w:rsidRoot w:val="00D56438"/>
    <w:rsid w:val="00017676"/>
    <w:rsid w:val="00686FED"/>
    <w:rsid w:val="00D5643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86FE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D5643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D56438"/>
    <w:rPr>
      <w:b/>
      <w:bCs/>
    </w:rPr>
  </w:style>
</w:styles>
</file>

<file path=word/webSettings.xml><?xml version="1.0" encoding="utf-8"?>
<w:webSettings xmlns:r="http://schemas.openxmlformats.org/officeDocument/2006/relationships" xmlns:w="http://schemas.openxmlformats.org/wordprocessingml/2006/main">
  <w:divs>
    <w:div w:id="1507013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387</Words>
  <Characters>2209</Characters>
  <Application>Microsoft Office Word</Application>
  <DocSecurity>0</DocSecurity>
  <Lines>18</Lines>
  <Paragraphs>5</Paragraphs>
  <ScaleCrop>false</ScaleCrop>
  <Company/>
  <LinksUpToDate>false</LinksUpToDate>
  <CharactersWithSpaces>2591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00373</dc:creator>
  <cp:lastModifiedBy>00373</cp:lastModifiedBy>
  <cp:revision>2</cp:revision>
  <dcterms:created xsi:type="dcterms:W3CDTF">2021-12-13T11:36:00Z</dcterms:created>
  <dcterms:modified xsi:type="dcterms:W3CDTF">2021-12-13T11:46:00Z</dcterms:modified>
</cp:coreProperties>
</file>